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FF36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423B6C72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E100CA" wp14:editId="14E81961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7CBC233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8A09C1F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24923DA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 xml:space="preserve">skills and </w:t>
      </w:r>
      <w:proofErr w:type="gramStart"/>
      <w:r w:rsidRPr="003A50F1">
        <w:rPr>
          <w:rFonts w:cs="Arial"/>
          <w:color w:val="FFFFFF" w:themeColor="background1"/>
        </w:rPr>
        <w:t>have the ability to</w:t>
      </w:r>
      <w:proofErr w:type="gramEnd"/>
      <w:r w:rsidRPr="003A50F1">
        <w:rPr>
          <w:rFonts w:cs="Arial"/>
          <w:color w:val="FFFFFF" w:themeColor="background1"/>
        </w:rPr>
        <w:t xml:space="preserve"> work in teams.</w:t>
      </w:r>
    </w:p>
    <w:p w14:paraId="1955360C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5072B2B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2F101565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17119870" w14:textId="3A437D02" w:rsidR="00B9564A" w:rsidRDefault="00B64154" w:rsidP="000565E6">
      <w:pPr>
        <w:rPr>
          <w:rFonts w:ascii="Calibri" w:hAnsi="Calibri"/>
          <w:i/>
          <w:color w:val="000000" w:themeColor="text1"/>
        </w:rPr>
      </w:pPr>
      <w:r w:rsidRPr="00B9564A">
        <w:rPr>
          <w:rFonts w:ascii="Calibri" w:hAnsi="Calibri"/>
          <w:b/>
          <w:i/>
          <w:color w:val="000000" w:themeColor="text1"/>
        </w:rPr>
        <w:t>Designation:</w:t>
      </w:r>
      <w:r w:rsidRPr="006631EC">
        <w:rPr>
          <w:rFonts w:ascii="Calibri" w:hAnsi="Calibri"/>
          <w:i/>
          <w:color w:val="000000" w:themeColor="text1"/>
        </w:rPr>
        <w:t xml:space="preserve"> </w:t>
      </w:r>
      <w:r w:rsidR="006E11F4" w:rsidRPr="006631EC">
        <w:rPr>
          <w:rFonts w:ascii="Calibri" w:hAnsi="Calibri"/>
          <w:i/>
          <w:color w:val="000000" w:themeColor="text1"/>
        </w:rPr>
        <w:tab/>
      </w:r>
      <w:r w:rsidR="00FD0549">
        <w:rPr>
          <w:rFonts w:ascii="Calibri" w:hAnsi="Calibri"/>
          <w:i/>
          <w:color w:val="000000" w:themeColor="text1"/>
        </w:rPr>
        <w:t>AGM/ Sr. Manager</w:t>
      </w:r>
      <w:r w:rsidR="006631EC">
        <w:rPr>
          <w:rFonts w:ascii="Calibri" w:hAnsi="Calibri"/>
          <w:i/>
          <w:color w:val="000000" w:themeColor="text1"/>
        </w:rPr>
        <w:tab/>
      </w:r>
      <w:r w:rsidR="006631EC">
        <w:rPr>
          <w:rFonts w:ascii="Calibri" w:hAnsi="Calibri"/>
          <w:i/>
          <w:color w:val="000000" w:themeColor="text1"/>
        </w:rPr>
        <w:tab/>
      </w:r>
      <w:r w:rsidR="006631EC">
        <w:rPr>
          <w:rFonts w:ascii="Calibri" w:hAnsi="Calibri"/>
          <w:i/>
          <w:color w:val="000000" w:themeColor="text1"/>
        </w:rPr>
        <w:tab/>
      </w:r>
      <w:r w:rsidR="00A12EE7" w:rsidRPr="00B9564A">
        <w:rPr>
          <w:rFonts w:ascii="Calibri" w:hAnsi="Calibri"/>
          <w:i/>
          <w:color w:val="000000" w:themeColor="text1"/>
        </w:rPr>
        <w:tab/>
      </w:r>
      <w:r w:rsidRPr="00B9564A">
        <w:rPr>
          <w:rFonts w:ascii="Calibri" w:hAnsi="Calibri"/>
          <w:b/>
          <w:i/>
          <w:color w:val="000000" w:themeColor="text1"/>
        </w:rPr>
        <w:t xml:space="preserve"> Function:</w:t>
      </w:r>
      <w:r w:rsidRPr="006E11F4">
        <w:rPr>
          <w:rFonts w:ascii="Calibri" w:hAnsi="Calibri"/>
          <w:i/>
          <w:color w:val="000000" w:themeColor="text1"/>
        </w:rPr>
        <w:t xml:space="preserve"> </w:t>
      </w:r>
      <w:r w:rsidR="00FD0549">
        <w:rPr>
          <w:rFonts w:ascii="Calibri" w:hAnsi="Calibri"/>
          <w:i/>
          <w:color w:val="000000" w:themeColor="text1"/>
        </w:rPr>
        <w:t>Technical Services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</w:p>
    <w:p w14:paraId="1911C4E0" w14:textId="48E85E25" w:rsidR="000565E6" w:rsidRPr="006E11F4" w:rsidRDefault="000565E6" w:rsidP="000565E6">
      <w:pPr>
        <w:rPr>
          <w:i/>
          <w:color w:val="000000" w:themeColor="text1"/>
        </w:rPr>
      </w:pPr>
      <w:r w:rsidRPr="00B9564A">
        <w:rPr>
          <w:b/>
          <w:i/>
          <w:color w:val="000000" w:themeColor="text1"/>
        </w:rPr>
        <w:t>Location:</w:t>
      </w:r>
      <w:r w:rsidR="00F25838">
        <w:rPr>
          <w:i/>
          <w:color w:val="000000" w:themeColor="text1"/>
        </w:rPr>
        <w:t xml:space="preserve"> </w:t>
      </w:r>
      <w:r w:rsidR="00F25838">
        <w:rPr>
          <w:i/>
          <w:color w:val="000000" w:themeColor="text1"/>
        </w:rPr>
        <w:tab/>
        <w:t>K8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F25838">
        <w:rPr>
          <w:i/>
          <w:color w:val="000000" w:themeColor="text1"/>
        </w:rPr>
        <w:tab/>
      </w:r>
      <w:r w:rsidR="00A12EE7" w:rsidRPr="00B9564A">
        <w:rPr>
          <w:rFonts w:ascii="Calibri" w:hAnsi="Calibri"/>
          <w:b/>
          <w:i/>
          <w:color w:val="000000" w:themeColor="text1"/>
        </w:rPr>
        <w:t>Sector:</w:t>
      </w:r>
      <w:r w:rsidR="00B9564A">
        <w:rPr>
          <w:rFonts w:ascii="Calibri" w:hAnsi="Calibri"/>
          <w:i/>
          <w:color w:val="000000" w:themeColor="text1"/>
        </w:rPr>
        <w:tab/>
      </w:r>
      <w:r w:rsidR="00FD0549">
        <w:rPr>
          <w:rFonts w:ascii="Calibri" w:hAnsi="Calibri"/>
          <w:i/>
          <w:color w:val="000000" w:themeColor="text1"/>
        </w:rPr>
        <w:t>Manufacturing</w:t>
      </w:r>
    </w:p>
    <w:p w14:paraId="636A4177" w14:textId="2FD06E65" w:rsidR="00B64154" w:rsidRPr="00F25838" w:rsidRDefault="00B64154" w:rsidP="00FD0549">
      <w:pPr>
        <w:pStyle w:val="TableContents"/>
        <w:snapToGrid w:val="0"/>
        <w:jc w:val="both"/>
        <w:rPr>
          <w:rFonts w:ascii="Calibri" w:hAnsi="Calibri" w:cs="Arial"/>
        </w:rPr>
      </w:pPr>
      <w:r w:rsidRPr="00B9564A">
        <w:rPr>
          <w:rFonts w:ascii="Calibri" w:hAnsi="Calibri"/>
          <w:b/>
          <w:i/>
          <w:color w:val="000000" w:themeColor="text1"/>
        </w:rPr>
        <w:t>Purpose of the Job</w:t>
      </w:r>
      <w:r w:rsidRPr="006E11F4">
        <w:rPr>
          <w:rFonts w:ascii="Calibri" w:hAnsi="Calibri"/>
          <w:i/>
          <w:color w:val="000000" w:themeColor="text1"/>
        </w:rPr>
        <w:t>:</w:t>
      </w:r>
      <w:r w:rsidR="00F25838" w:rsidRPr="00F25838">
        <w:rPr>
          <w:rFonts w:eastAsia="Helvetica" w:cs="Times New Roman"/>
          <w:color w:val="000080"/>
          <w:lang w:val="en-GB"/>
        </w:rPr>
        <w:t xml:space="preserve"> </w:t>
      </w:r>
      <w:r w:rsidR="00FD0549">
        <w:rPr>
          <w:rFonts w:eastAsia="Helvetica" w:cs="Helvetica"/>
          <w:color w:val="000000"/>
          <w:sz w:val="21"/>
          <w:szCs w:val="21"/>
          <w:shd w:val="clear" w:color="auto" w:fill="FFFFFF"/>
        </w:rPr>
        <w:t>The role is responsible to identify the operating bottleneck by monitoring the process parameters, carrying out analysis of the collated data &amp; periodical process audits, preparing the technical feasible proposals &amp; commission them ensuring all aspects of operation meeting specified norms</w:t>
      </w:r>
      <w:r w:rsidR="00F25838" w:rsidRPr="00F25838">
        <w:rPr>
          <w:rFonts w:eastAsia="Helvetica"/>
          <w:color w:val="000080"/>
        </w:rPr>
        <w:t>.</w:t>
      </w:r>
      <w:r w:rsidR="00B9564A" w:rsidRPr="00F25838">
        <w:rPr>
          <w:rFonts w:ascii="Calibri" w:hAnsi="Calibri" w:cs="Arial"/>
        </w:rPr>
        <w:t xml:space="preserve"> </w:t>
      </w:r>
    </w:p>
    <w:p w14:paraId="0E9B1C0D" w14:textId="77777777" w:rsidR="00F25838" w:rsidRPr="006E11F4" w:rsidRDefault="00F25838" w:rsidP="00F25838">
      <w:pPr>
        <w:pStyle w:val="ListParagraph"/>
        <w:ind w:left="0"/>
        <w:rPr>
          <w:rFonts w:ascii="Calibri" w:hAnsi="Calibri"/>
          <w:i/>
          <w:color w:val="000000" w:themeColor="text1"/>
        </w:rPr>
      </w:pPr>
    </w:p>
    <w:p w14:paraId="7E5E6DA2" w14:textId="553A6EFE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1A4F502A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7A0E647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2AEE02C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49DAE288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31607B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224B7" w:rsidRPr="009604B9" w14:paraId="7D5DB18F" w14:textId="77777777" w:rsidTr="00BC3469">
        <w:trPr>
          <w:trHeight w:val="595"/>
        </w:trPr>
        <w:tc>
          <w:tcPr>
            <w:tcW w:w="4503" w:type="dxa"/>
            <w:vMerge w:val="restart"/>
            <w:tcBorders>
              <w:top w:val="nil"/>
            </w:tcBorders>
            <w:vAlign w:val="center"/>
          </w:tcPr>
          <w:p w14:paraId="308571A2" w14:textId="702FBDA4" w:rsidR="00A224B7" w:rsidRPr="00295637" w:rsidRDefault="00A224B7" w:rsidP="00FD054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MIS</w:t>
            </w:r>
          </w:p>
        </w:tc>
        <w:tc>
          <w:tcPr>
            <w:tcW w:w="5273" w:type="dxa"/>
            <w:tcBorders>
              <w:top w:val="nil"/>
            </w:tcBorders>
            <w:vAlign w:val="center"/>
          </w:tcPr>
          <w:p w14:paraId="5195DD75" w14:textId="728B3536" w:rsidR="00A224B7" w:rsidRPr="00CC4F94" w:rsidRDefault="00A224B7" w:rsidP="00FD0549">
            <w:pPr>
              <w:spacing w:before="100" w:beforeAutospacing="1" w:after="100" w:afterAutospacing="1" w:line="240" w:lineRule="auto"/>
              <w:ind w:left="360"/>
              <w:rPr>
                <w:rFonts w:ascii="Calibri" w:hAnsi="Calibri" w:cs="Arial"/>
              </w:rPr>
            </w:pPr>
            <w:r w:rsidRPr="00624824">
              <w:rPr>
                <w:color w:val="000080"/>
                <w:szCs w:val="20"/>
              </w:rPr>
              <w:t>Provide inputs for the preparation of revenue budget of production &amp; utility</w:t>
            </w:r>
          </w:p>
        </w:tc>
      </w:tr>
      <w:tr w:rsidR="00A224B7" w:rsidRPr="009604B9" w14:paraId="18436808" w14:textId="77777777" w:rsidTr="008A3876">
        <w:trPr>
          <w:trHeight w:val="595"/>
        </w:trPr>
        <w:tc>
          <w:tcPr>
            <w:tcW w:w="4503" w:type="dxa"/>
            <w:vMerge/>
            <w:vAlign w:val="center"/>
          </w:tcPr>
          <w:p w14:paraId="0E71B5E9" w14:textId="2889DE64" w:rsidR="00A224B7" w:rsidRDefault="00A224B7" w:rsidP="00FD0549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  <w:vAlign w:val="center"/>
          </w:tcPr>
          <w:p w14:paraId="012C36EA" w14:textId="6185438A" w:rsidR="00A224B7" w:rsidRPr="001A242E" w:rsidRDefault="00A224B7" w:rsidP="00FD0549">
            <w:pPr>
              <w:spacing w:after="0" w:line="240" w:lineRule="auto"/>
              <w:ind w:left="360"/>
              <w:rPr>
                <w:rFonts w:cs="Arial"/>
              </w:rPr>
            </w:pPr>
            <w:r w:rsidRPr="00624824">
              <w:rPr>
                <w:color w:val="000080"/>
                <w:szCs w:val="20"/>
              </w:rPr>
              <w:t>Prepare Utility Allocation report, plant performance Monthly Report &amp; Report necessary for government Agencies, on energy conservation etc.</w:t>
            </w:r>
          </w:p>
        </w:tc>
      </w:tr>
      <w:tr w:rsidR="00A224B7" w:rsidRPr="009604B9" w14:paraId="62A5E314" w14:textId="77777777" w:rsidTr="00BC3469">
        <w:trPr>
          <w:trHeight w:val="595"/>
        </w:trPr>
        <w:tc>
          <w:tcPr>
            <w:tcW w:w="4503" w:type="dxa"/>
            <w:vMerge w:val="restart"/>
            <w:tcBorders>
              <w:top w:val="nil"/>
            </w:tcBorders>
            <w:vAlign w:val="center"/>
          </w:tcPr>
          <w:p w14:paraId="507CE6C4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30" w:hanging="27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Process Monitoring</w:t>
            </w:r>
          </w:p>
          <w:p w14:paraId="666B7349" w14:textId="51CF152F" w:rsidR="00A224B7" w:rsidRPr="00295637" w:rsidRDefault="00A224B7" w:rsidP="00FD0549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  <w:vAlign w:val="center"/>
          </w:tcPr>
          <w:p w14:paraId="173B8D3C" w14:textId="62ADBAAD" w:rsidR="00A224B7" w:rsidRPr="00295637" w:rsidRDefault="00A224B7" w:rsidP="00FD0549">
            <w:pPr>
              <w:pStyle w:val="Default"/>
              <w:ind w:left="360"/>
              <w:rPr>
                <w:rFonts w:cs="Arial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Identify operating bottlenecks through process monitoring, periodical technical audits, failure investigations &amp; generation reports of recommendations.</w:t>
            </w:r>
          </w:p>
        </w:tc>
      </w:tr>
      <w:tr w:rsidR="00A224B7" w:rsidRPr="009604B9" w14:paraId="72F5BA40" w14:textId="77777777" w:rsidTr="00BC3469">
        <w:trPr>
          <w:trHeight w:val="595"/>
        </w:trPr>
        <w:tc>
          <w:tcPr>
            <w:tcW w:w="4503" w:type="dxa"/>
            <w:vMerge/>
            <w:vAlign w:val="center"/>
          </w:tcPr>
          <w:p w14:paraId="15E17656" w14:textId="31037508" w:rsidR="00A224B7" w:rsidRPr="00295637" w:rsidRDefault="00A224B7" w:rsidP="00FD054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3DDF7802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Monitor to implement recommended actions /proposals &amp; evaluate the cost-economic benefits, environmental protection, quality enhancement regulating out of implantable action.</w:t>
            </w:r>
          </w:p>
          <w:p w14:paraId="410BB38D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Meeting the </w:t>
            </w:r>
            <w:proofErr w:type="gramStart"/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time line</w:t>
            </w:r>
            <w:proofErr w:type="gramEnd"/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for engineering coordination of too many MOC's arising out of operating inadequacy or installation of old refurnished plant.</w:t>
            </w:r>
          </w:p>
          <w:p w14:paraId="78F4055B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Plan &amp; coordinate performance guarantee test of process plants.</w:t>
            </w:r>
          </w:p>
          <w:p w14:paraId="447E6BCB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Prepare failure analysis report as &amp; when necessary.</w:t>
            </w:r>
          </w:p>
          <w:p w14:paraId="40FA2EC7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lastRenderedPageBreak/>
              <w:t>Preparation of equipment &amp; instrument process data sheet for raising inquiry &amp; evaluating the quotes.</w:t>
            </w:r>
          </w:p>
          <w:p w14:paraId="643C28CA" w14:textId="58E14E93" w:rsidR="00A224B7" w:rsidRPr="00295637" w:rsidRDefault="00A224B7" w:rsidP="00FD0549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Carry out process audit on identified interval.</w:t>
            </w:r>
          </w:p>
        </w:tc>
      </w:tr>
      <w:tr w:rsidR="00A224B7" w:rsidRPr="009604B9" w14:paraId="68E2540B" w14:textId="77777777" w:rsidTr="00BC3469">
        <w:trPr>
          <w:trHeight w:val="595"/>
        </w:trPr>
        <w:tc>
          <w:tcPr>
            <w:tcW w:w="4503" w:type="dxa"/>
            <w:vMerge w:val="restart"/>
            <w:vAlign w:val="center"/>
          </w:tcPr>
          <w:p w14:paraId="57F72687" w14:textId="569045C7" w:rsidR="00A224B7" w:rsidRPr="00295637" w:rsidRDefault="00A224B7" w:rsidP="00FD0549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lastRenderedPageBreak/>
              <w:t>Operating improvements</w:t>
            </w:r>
          </w:p>
        </w:tc>
        <w:tc>
          <w:tcPr>
            <w:tcW w:w="5273" w:type="dxa"/>
            <w:vAlign w:val="center"/>
          </w:tcPr>
          <w:p w14:paraId="77D1BE1A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Engineering coordination of MOC for approval &amp; implementation through RCA (Root cause analysis</w:t>
            </w:r>
            <w:proofErr w:type="gramStart"/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),HAZOP</w:t>
            </w:r>
            <w:proofErr w:type="gramEnd"/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&amp; cost benefit analysis.</w:t>
            </w:r>
          </w:p>
          <w:p w14:paraId="28CA0303" w14:textId="4476F158" w:rsidR="00A224B7" w:rsidRPr="00295637" w:rsidRDefault="00A224B7" w:rsidP="00FD0549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Analysing critical process parameter for drawing conclusion because of limited exposure to the related process.</w:t>
            </w:r>
          </w:p>
        </w:tc>
      </w:tr>
      <w:tr w:rsidR="00A224B7" w:rsidRPr="009604B9" w14:paraId="064A57D6" w14:textId="77777777" w:rsidTr="00BC3469">
        <w:trPr>
          <w:trHeight w:val="595"/>
        </w:trPr>
        <w:tc>
          <w:tcPr>
            <w:tcW w:w="4503" w:type="dxa"/>
            <w:vMerge/>
            <w:vAlign w:val="center"/>
          </w:tcPr>
          <w:p w14:paraId="0B199D99" w14:textId="77777777" w:rsidR="00A224B7" w:rsidRPr="00295637" w:rsidRDefault="00A224B7" w:rsidP="00FD0549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2215873A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Collating the process data for communicating with process licensor and external agencies &amp; raising inquiry, comparative analysis &amp; technical recommendation for purchase of new equipment /instruments.</w:t>
            </w:r>
          </w:p>
          <w:p w14:paraId="2EF16FC6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Effective utilization of Utility network with fluctuation sales demand influencing product matrix.</w:t>
            </w:r>
          </w:p>
          <w:p w14:paraId="7F59BF24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Engineering coordination of MOC</w:t>
            </w:r>
          </w:p>
          <w:p w14:paraId="3106BB78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Process calculation related with performance analysis</w:t>
            </w:r>
          </w:p>
          <w:p w14:paraId="6A52B9F1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Prepare utility allocation report.</w:t>
            </w:r>
          </w:p>
          <w:p w14:paraId="02B43A1B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Give MIS support as &amp; when required to HOD / TOP management.</w:t>
            </w:r>
          </w:p>
          <w:p w14:paraId="5725D255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Maintain &amp; update ISO documents for process department.</w:t>
            </w:r>
          </w:p>
          <w:p w14:paraId="70BFB9DD" w14:textId="6102ED62" w:rsidR="00A224B7" w:rsidRPr="00295637" w:rsidRDefault="00A224B7" w:rsidP="00FD0549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Engineering document &amp; Technical Library of reference management.</w:t>
            </w:r>
          </w:p>
        </w:tc>
      </w:tr>
      <w:tr w:rsidR="00A224B7" w:rsidRPr="009604B9" w14:paraId="60721AB1" w14:textId="77777777" w:rsidTr="00BC3469">
        <w:trPr>
          <w:trHeight w:val="595"/>
        </w:trPr>
        <w:tc>
          <w:tcPr>
            <w:tcW w:w="4503" w:type="dxa"/>
            <w:vMerge w:val="restart"/>
            <w:vAlign w:val="center"/>
          </w:tcPr>
          <w:p w14:paraId="6D186CA7" w14:textId="4859A5AA" w:rsidR="00A224B7" w:rsidRPr="00295637" w:rsidRDefault="00A224B7" w:rsidP="00FD0549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Training &amp; Development</w:t>
            </w:r>
            <w:bookmarkStart w:id="0" w:name="_GoBack"/>
            <w:bookmarkEnd w:id="0"/>
          </w:p>
        </w:tc>
        <w:tc>
          <w:tcPr>
            <w:tcW w:w="5273" w:type="dxa"/>
            <w:vAlign w:val="center"/>
          </w:tcPr>
          <w:p w14:paraId="5D0D408C" w14:textId="3235352A" w:rsidR="00A224B7" w:rsidRPr="00295637" w:rsidRDefault="00A224B7" w:rsidP="00FD0549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To participate in related technical training / discussion, further understand &amp; study the related process &amp; software applications to submit analytical report / proposal.</w:t>
            </w:r>
          </w:p>
        </w:tc>
      </w:tr>
      <w:tr w:rsidR="00A224B7" w:rsidRPr="009604B9" w14:paraId="53F58B51" w14:textId="77777777" w:rsidTr="00BC3469">
        <w:trPr>
          <w:trHeight w:val="595"/>
        </w:trPr>
        <w:tc>
          <w:tcPr>
            <w:tcW w:w="4503" w:type="dxa"/>
            <w:vMerge/>
            <w:vAlign w:val="center"/>
          </w:tcPr>
          <w:p w14:paraId="1476DE5B" w14:textId="77777777" w:rsidR="00A224B7" w:rsidRPr="00295637" w:rsidRDefault="00A224B7" w:rsidP="00FD0549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3E454DE5" w14:textId="77777777" w:rsidR="00A224B7" w:rsidRPr="00624824" w:rsidRDefault="00A224B7" w:rsidP="00FD0549">
            <w:pPr>
              <w:pStyle w:val="ListParagraph"/>
              <w:numPr>
                <w:ilvl w:val="0"/>
                <w:numId w:val="20"/>
              </w:numPr>
              <w:snapToGrid w:val="0"/>
              <w:ind w:left="346" w:hanging="346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To share the learning with peers / colleagues</w:t>
            </w:r>
          </w:p>
          <w:p w14:paraId="2F3D0BAC" w14:textId="03CA2888" w:rsidR="00A224B7" w:rsidRPr="00295637" w:rsidRDefault="00A224B7" w:rsidP="00FD0549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Developing timely process calculations or engineering drawing for analysis in absence of process software's</w:t>
            </w:r>
          </w:p>
        </w:tc>
      </w:tr>
      <w:tr w:rsidR="00FD0549" w:rsidRPr="009604B9" w14:paraId="69DD4530" w14:textId="77777777" w:rsidTr="002E705B">
        <w:trPr>
          <w:trHeight w:val="595"/>
        </w:trPr>
        <w:tc>
          <w:tcPr>
            <w:tcW w:w="4503" w:type="dxa"/>
          </w:tcPr>
          <w:p w14:paraId="41EF1011" w14:textId="39E69756" w:rsidR="00FD0549" w:rsidRPr="00295637" w:rsidRDefault="00FD0549" w:rsidP="00FD0549">
            <w:pPr>
              <w:pStyle w:val="ListParagraph"/>
              <w:ind w:left="360"/>
              <w:rPr>
                <w:rFonts w:ascii="Calibri" w:eastAsia="Helvetica" w:hAnsi="Calibri" w:cs="Helvetica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273" w:type="dxa"/>
          </w:tcPr>
          <w:p w14:paraId="0B4825C2" w14:textId="77F62B43" w:rsidR="00FD0549" w:rsidRPr="00295637" w:rsidRDefault="00FD0549" w:rsidP="00FD0549">
            <w:pPr>
              <w:pStyle w:val="ListParagraph"/>
              <w:ind w:left="360"/>
              <w:rPr>
                <w:rFonts w:ascii="Calibri" w:eastAsia="Helvetica" w:hAnsi="Calibri" w:cs="Helvetica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FD0549" w:rsidRPr="002340C3" w14:paraId="4B8C1FF7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009709BF" w14:textId="77777777" w:rsidR="00FD0549" w:rsidRPr="006E11F4" w:rsidRDefault="00FD0549" w:rsidP="00FD054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3D5D9E3B" w14:textId="77777777" w:rsidR="00FD0549" w:rsidRPr="006E11F4" w:rsidRDefault="00FD0549" w:rsidP="00FD054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FD0549" w:rsidRPr="002340C3" w14:paraId="404DFEAC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48DB485D" w14:textId="6E9D9098" w:rsidR="00FD0549" w:rsidRPr="006E11F4" w:rsidRDefault="00FD0549" w:rsidP="00FD0549">
            <w:pPr>
              <w:rPr>
                <w:rFonts w:ascii="Calibri" w:hAnsi="Calibri"/>
                <w:b/>
                <w:i/>
                <w:color w:val="000000" w:themeColor="text1"/>
              </w:rPr>
            </w:pPr>
            <w:r w:rsidRPr="00624824">
              <w:rPr>
                <w:color w:val="000080"/>
                <w:szCs w:val="20"/>
              </w:rPr>
              <w:t>B.E. (Chemical)</w:t>
            </w:r>
          </w:p>
        </w:tc>
        <w:tc>
          <w:tcPr>
            <w:tcW w:w="5273" w:type="dxa"/>
            <w:shd w:val="clear" w:color="auto" w:fill="FFFFFF" w:themeFill="background1"/>
          </w:tcPr>
          <w:p w14:paraId="7A337150" w14:textId="62272399" w:rsidR="00FD0549" w:rsidRDefault="00FD0549" w:rsidP="00FD0549">
            <w:pPr>
              <w:rPr>
                <w:rFonts w:eastAsia="Helvetica"/>
                <w:color w:val="000080"/>
              </w:rPr>
            </w:pPr>
            <w:r w:rsidRPr="00624824">
              <w:rPr>
                <w:color w:val="000080"/>
                <w:szCs w:val="20"/>
              </w:rPr>
              <w:t>7-9 Years’ Experience in similar industry</w:t>
            </w:r>
            <w:r>
              <w:rPr>
                <w:rFonts w:eastAsia="Helvetica"/>
                <w:color w:val="000080"/>
              </w:rPr>
              <w:t xml:space="preserve"> </w:t>
            </w:r>
          </w:p>
          <w:p w14:paraId="1F7400C3" w14:textId="527EAE18" w:rsidR="00FD0549" w:rsidRPr="00295637" w:rsidRDefault="00FD0549" w:rsidP="00FD0549">
            <w:pPr>
              <w:jc w:val="both"/>
              <w:rPr>
                <w:rFonts w:ascii="Calibri" w:hAnsi="Calibri" w:cs="Arial"/>
              </w:rPr>
            </w:pPr>
          </w:p>
        </w:tc>
      </w:tr>
      <w:tr w:rsidR="00FD0549" w:rsidRPr="00295637" w14:paraId="494D3CAF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0B2FF16B" w14:textId="77777777" w:rsidR="00FD0549" w:rsidRPr="00295637" w:rsidRDefault="00FD0549" w:rsidP="00FD0549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FD0549" w:rsidRPr="00295637" w14:paraId="171080B4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4BA114A0" w14:textId="77777777" w:rsidR="00FD0549" w:rsidRPr="00624824" w:rsidRDefault="00FD0549" w:rsidP="00FD054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Good process engineering knowledge</w:t>
            </w:r>
          </w:p>
          <w:p w14:paraId="7DA10993" w14:textId="77777777" w:rsidR="00FD0549" w:rsidRPr="00624824" w:rsidRDefault="00FD0549" w:rsidP="00FD054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Proper technical approach</w:t>
            </w:r>
          </w:p>
          <w:p w14:paraId="25F9493C" w14:textId="77777777" w:rsidR="00FD0549" w:rsidRPr="00624824" w:rsidRDefault="00FD0549" w:rsidP="00FD054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Good communication</w:t>
            </w:r>
          </w:p>
          <w:p w14:paraId="677B4DF3" w14:textId="77777777" w:rsidR="00FD0549" w:rsidRPr="00624824" w:rsidRDefault="00FD0549" w:rsidP="00FD054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Conversant with computer application</w:t>
            </w:r>
          </w:p>
          <w:p w14:paraId="6681A7D5" w14:textId="006A443D" w:rsidR="00FD0549" w:rsidRPr="00D21BCD" w:rsidRDefault="00FD0549" w:rsidP="00FD0549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b/>
                <w:i/>
              </w:rPr>
            </w:pPr>
            <w:r w:rsidRPr="00624824">
              <w:rPr>
                <w:rFonts w:asciiTheme="minorHAnsi" w:hAnsiTheme="minorHAnsi"/>
                <w:color w:val="000080"/>
                <w:sz w:val="22"/>
                <w:szCs w:val="20"/>
              </w:rPr>
              <w:t>Positive attitude towards work.</w:t>
            </w:r>
          </w:p>
        </w:tc>
      </w:tr>
    </w:tbl>
    <w:p w14:paraId="6F26499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9BB8" w14:textId="77777777" w:rsidR="00653756" w:rsidRDefault="00653756" w:rsidP="002E705B">
      <w:pPr>
        <w:spacing w:after="0" w:line="240" w:lineRule="auto"/>
      </w:pPr>
      <w:r>
        <w:separator/>
      </w:r>
    </w:p>
  </w:endnote>
  <w:endnote w:type="continuationSeparator" w:id="0">
    <w:p w14:paraId="62AF9186" w14:textId="77777777" w:rsidR="00653756" w:rsidRDefault="00653756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17C0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EDEF20C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5998" w14:textId="77777777" w:rsidR="00653756" w:rsidRDefault="00653756" w:rsidP="002E705B">
      <w:pPr>
        <w:spacing w:after="0" w:line="240" w:lineRule="auto"/>
      </w:pPr>
      <w:r>
        <w:separator/>
      </w:r>
    </w:p>
  </w:footnote>
  <w:footnote w:type="continuationSeparator" w:id="0">
    <w:p w14:paraId="5AE3C615" w14:textId="77777777" w:rsidR="00653756" w:rsidRDefault="00653756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CBCF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6AC7616F" wp14:editId="7DF1BCE8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DED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26DAF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305CA"/>
    <w:multiLevelType w:val="hybridMultilevel"/>
    <w:tmpl w:val="8124AA7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0"/>
  </w:num>
  <w:num w:numId="7">
    <w:abstractNumId w:val="18"/>
  </w:num>
  <w:num w:numId="8">
    <w:abstractNumId w:val="15"/>
  </w:num>
  <w:num w:numId="9">
    <w:abstractNumId w:val="11"/>
  </w:num>
  <w:num w:numId="10">
    <w:abstractNumId w:val="22"/>
  </w:num>
  <w:num w:numId="11">
    <w:abstractNumId w:val="14"/>
  </w:num>
  <w:num w:numId="12">
    <w:abstractNumId w:val="16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  <w:num w:numId="17">
    <w:abstractNumId w:val="13"/>
  </w:num>
  <w:num w:numId="18">
    <w:abstractNumId w:val="3"/>
  </w:num>
  <w:num w:numId="19">
    <w:abstractNumId w:val="19"/>
  </w:num>
  <w:num w:numId="20">
    <w:abstractNumId w:val="2"/>
  </w:num>
  <w:num w:numId="21">
    <w:abstractNumId w:val="10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345CA"/>
    <w:rsid w:val="00446E9E"/>
    <w:rsid w:val="004645F9"/>
    <w:rsid w:val="00476715"/>
    <w:rsid w:val="0052050C"/>
    <w:rsid w:val="005F63B5"/>
    <w:rsid w:val="00623610"/>
    <w:rsid w:val="00653756"/>
    <w:rsid w:val="006631EC"/>
    <w:rsid w:val="006967B3"/>
    <w:rsid w:val="006E11F4"/>
    <w:rsid w:val="008F45B7"/>
    <w:rsid w:val="00973FA3"/>
    <w:rsid w:val="009E3EF1"/>
    <w:rsid w:val="00A12EE7"/>
    <w:rsid w:val="00A224B7"/>
    <w:rsid w:val="00AE2566"/>
    <w:rsid w:val="00B12E05"/>
    <w:rsid w:val="00B550BE"/>
    <w:rsid w:val="00B64154"/>
    <w:rsid w:val="00B9564A"/>
    <w:rsid w:val="00B96A64"/>
    <w:rsid w:val="00BA0C56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25838"/>
    <w:rsid w:val="00F60033"/>
    <w:rsid w:val="00FD0549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7F5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25838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25838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25838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25838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25838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25838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25838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25838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25838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customStyle="1" w:styleId="Default">
    <w:name w:val="Default"/>
    <w:rsid w:val="006631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IN"/>
    </w:rPr>
  </w:style>
  <w:style w:type="paragraph" w:customStyle="1" w:styleId="TableContents">
    <w:name w:val="Table Contents"/>
    <w:basedOn w:val="Normal"/>
    <w:rsid w:val="00F258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customStyle="1" w:styleId="Heading1Char">
    <w:name w:val="Heading 1 Char"/>
    <w:basedOn w:val="DefaultParagraphFont"/>
    <w:link w:val="Heading1"/>
    <w:rsid w:val="00F25838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25838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25838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25838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25838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25838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25838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25838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25838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Anupama Kumari</cp:lastModifiedBy>
  <cp:revision>3</cp:revision>
  <cp:lastPrinted>2019-05-24T09:32:00Z</cp:lastPrinted>
  <dcterms:created xsi:type="dcterms:W3CDTF">2019-09-06T08:59:00Z</dcterms:created>
  <dcterms:modified xsi:type="dcterms:W3CDTF">2019-11-08T10:15:00Z</dcterms:modified>
</cp:coreProperties>
</file>